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44D" w:rsidRPr="00B77DEA" w:rsidRDefault="0042444D" w:rsidP="0042444D">
      <w:pPr>
        <w:snapToGrid w:val="0"/>
        <w:spacing w:line="400" w:lineRule="atLeast"/>
        <w:jc w:val="left"/>
        <w:rPr>
          <w:rFonts w:ascii="仿宋_GB2312" w:hAnsi="宋体"/>
          <w:b/>
          <w:color w:val="000000" w:themeColor="text1"/>
          <w:szCs w:val="32"/>
        </w:rPr>
      </w:pPr>
      <w:r w:rsidRPr="00B77DEA">
        <w:rPr>
          <w:rFonts w:ascii="仿宋_GB2312" w:hAnsi="宋体" w:hint="eastAsia"/>
          <w:b/>
          <w:color w:val="000000" w:themeColor="text1"/>
          <w:szCs w:val="32"/>
        </w:rPr>
        <w:t>附件</w:t>
      </w:r>
      <w:r w:rsidRPr="00B77DEA">
        <w:rPr>
          <w:rFonts w:ascii="仿宋_GB2312" w:hAnsi="宋体" w:hint="eastAsia"/>
          <w:b/>
          <w:color w:val="000000" w:themeColor="text1"/>
          <w:szCs w:val="32"/>
        </w:rPr>
        <w:t>1</w:t>
      </w:r>
      <w:r w:rsidRPr="00B77DEA">
        <w:rPr>
          <w:rFonts w:ascii="仿宋_GB2312" w:hAnsi="宋体" w:hint="eastAsia"/>
          <w:b/>
          <w:color w:val="000000" w:themeColor="text1"/>
          <w:szCs w:val="32"/>
        </w:rPr>
        <w:t>．</w:t>
      </w:r>
      <w:r w:rsidRPr="00B77DEA">
        <w:rPr>
          <w:rFonts w:ascii="仿宋_GB2312" w:hAnsi="宋体" w:hint="eastAsia"/>
          <w:b/>
          <w:color w:val="000000" w:themeColor="text1"/>
          <w:szCs w:val="32"/>
        </w:rPr>
        <w:t>3</w:t>
      </w:r>
    </w:p>
    <w:p w:rsidR="0042444D" w:rsidRPr="00B77DEA" w:rsidRDefault="0042444D" w:rsidP="0042444D">
      <w:pPr>
        <w:snapToGrid w:val="0"/>
        <w:spacing w:line="400" w:lineRule="atLeast"/>
        <w:jc w:val="center"/>
        <w:rPr>
          <w:rFonts w:ascii="黑体" w:eastAsia="黑体" w:hAnsi="宋体"/>
          <w:bCs/>
          <w:color w:val="000000" w:themeColor="text1"/>
          <w:sz w:val="32"/>
          <w:szCs w:val="32"/>
        </w:rPr>
      </w:pPr>
      <w:r w:rsidRPr="00B77DEA">
        <w:rPr>
          <w:rFonts w:ascii="黑体" w:eastAsia="黑体" w:hAnsi="宋体" w:hint="eastAsia"/>
          <w:bCs/>
          <w:color w:val="000000" w:themeColor="text1"/>
          <w:sz w:val="32"/>
          <w:szCs w:val="32"/>
        </w:rPr>
        <w:t>福建中医药大学课程考试质量评价办法</w:t>
      </w:r>
    </w:p>
    <w:p w:rsidR="0042444D" w:rsidRPr="00B77DEA" w:rsidRDefault="0042444D" w:rsidP="0042444D">
      <w:pPr>
        <w:adjustRightInd w:val="0"/>
        <w:snapToGrid w:val="0"/>
        <w:spacing w:line="400" w:lineRule="atLeast"/>
        <w:ind w:firstLineChars="200" w:firstLine="562"/>
        <w:jc w:val="left"/>
        <w:rPr>
          <w:rFonts w:ascii="仿宋_GB2312" w:hAnsi="宋体"/>
          <w:color w:val="000000" w:themeColor="text1"/>
          <w:szCs w:val="32"/>
        </w:rPr>
      </w:pPr>
      <w:r w:rsidRPr="00B77DEA">
        <w:rPr>
          <w:rFonts w:ascii="黑体" w:eastAsia="黑体" w:hAnsi="宋体" w:hint="eastAsia"/>
          <w:b/>
          <w:color w:val="000000" w:themeColor="text1"/>
          <w:sz w:val="28"/>
          <w:szCs w:val="28"/>
        </w:rPr>
        <w:cr/>
        <w:t xml:space="preserve">   </w:t>
      </w:r>
      <w:r w:rsidRPr="00B77DEA">
        <w:rPr>
          <w:rFonts w:ascii="仿宋_GB2312" w:hAnsi="宋体" w:hint="eastAsia"/>
          <w:color w:val="000000" w:themeColor="text1"/>
          <w:szCs w:val="32"/>
        </w:rPr>
        <w:t>课程考试质量评价内容包括：考题广度与深度，考试方法与学生考试的成绩等。评价的方法，由各学院（部）会同教研室组织同类课程的教师</w:t>
      </w:r>
      <w:r w:rsidRPr="00B77DEA">
        <w:rPr>
          <w:rFonts w:ascii="仿宋_GB2312" w:hAnsi="宋体" w:hint="eastAsia"/>
          <w:color w:val="000000" w:themeColor="text1"/>
          <w:szCs w:val="32"/>
        </w:rPr>
        <w:t>(</w:t>
      </w:r>
      <w:r w:rsidRPr="00B77DEA">
        <w:rPr>
          <w:rFonts w:ascii="仿宋_GB2312" w:hAnsi="宋体" w:hint="eastAsia"/>
          <w:color w:val="000000" w:themeColor="text1"/>
          <w:szCs w:val="32"/>
        </w:rPr>
        <w:t>教、考、评分离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，对试卷和学生答卷进行评分统计分析。</w:t>
      </w:r>
      <w:r w:rsidRPr="00B77DEA">
        <w:rPr>
          <w:rFonts w:ascii="仿宋_GB2312" w:hAnsi="宋体" w:hint="eastAsia"/>
          <w:color w:val="000000" w:themeColor="text1"/>
          <w:szCs w:val="32"/>
        </w:rPr>
        <w:t xml:space="preserve">   </w:t>
      </w:r>
    </w:p>
    <w:p w:rsidR="0042444D" w:rsidRPr="00B77DEA" w:rsidRDefault="0042444D" w:rsidP="0042444D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color w:val="000000" w:themeColor="text1"/>
          <w:szCs w:val="32"/>
        </w:rPr>
      </w:pPr>
      <w:r w:rsidRPr="00B77DEA">
        <w:rPr>
          <w:rFonts w:ascii="仿宋_GB2312" w:hAnsi="宋体" w:hint="eastAsia"/>
          <w:color w:val="000000" w:themeColor="text1"/>
          <w:szCs w:val="32"/>
        </w:rPr>
        <w:t>评价项目：</w:t>
      </w:r>
      <w:r w:rsidRPr="00B77DEA">
        <w:rPr>
          <w:rFonts w:ascii="仿宋_GB2312" w:hAnsi="宋体" w:hint="eastAsia"/>
          <w:color w:val="000000" w:themeColor="text1"/>
          <w:szCs w:val="32"/>
        </w:rPr>
        <w:cr/>
        <w:t xml:space="preserve">    1</w:t>
      </w:r>
      <w:r w:rsidRPr="00B77DEA">
        <w:rPr>
          <w:rFonts w:ascii="仿宋_GB2312" w:hAnsi="宋体" w:hint="eastAsia"/>
          <w:color w:val="000000" w:themeColor="text1"/>
          <w:szCs w:val="32"/>
        </w:rPr>
        <w:t>、试题量与内容的广度和深度是否反映本课程大纲的要求。</w:t>
      </w:r>
      <w:r w:rsidRPr="00B77DEA">
        <w:rPr>
          <w:rFonts w:ascii="仿宋_GB2312" w:hAnsi="宋体" w:hint="eastAsia"/>
          <w:color w:val="000000" w:themeColor="text1"/>
          <w:szCs w:val="32"/>
        </w:rPr>
        <w:cr/>
        <w:t xml:space="preserve">    </w:t>
      </w:r>
      <w:r w:rsidRPr="00B77DEA">
        <w:rPr>
          <w:rFonts w:ascii="仿宋_GB2312" w:hAnsi="宋体" w:hint="eastAsia"/>
          <w:color w:val="000000" w:themeColor="text1"/>
          <w:szCs w:val="32"/>
        </w:rPr>
        <w:t>内容的广度是指试题覆盖课程内容的多寡；深度表示试题的难度，是否符合大纲的基本要求，并能区分出学习成绩的差别。</w:t>
      </w:r>
      <w:r w:rsidRPr="00B77DEA">
        <w:rPr>
          <w:rFonts w:ascii="仿宋_GB2312" w:hAnsi="宋体" w:hint="eastAsia"/>
          <w:color w:val="000000" w:themeColor="text1"/>
          <w:szCs w:val="32"/>
        </w:rPr>
        <w:t xml:space="preserve">  </w:t>
      </w:r>
    </w:p>
    <w:p w:rsidR="0042444D" w:rsidRPr="00B77DEA" w:rsidRDefault="0042444D" w:rsidP="0042444D">
      <w:pPr>
        <w:pStyle w:val="a5"/>
        <w:snapToGrid w:val="0"/>
        <w:spacing w:line="400" w:lineRule="atLeast"/>
        <w:ind w:firstLineChars="200" w:firstLine="420"/>
        <w:jc w:val="left"/>
        <w:rPr>
          <w:rFonts w:ascii="仿宋_GB2312" w:hAnsi="宋体"/>
          <w:color w:val="000000" w:themeColor="text1"/>
          <w:szCs w:val="32"/>
        </w:rPr>
      </w:pPr>
      <w:r w:rsidRPr="00B77DEA">
        <w:rPr>
          <w:rFonts w:ascii="仿宋_GB2312" w:hAnsi="宋体" w:hint="eastAsia"/>
          <w:color w:val="000000" w:themeColor="text1"/>
          <w:szCs w:val="32"/>
        </w:rPr>
        <w:t>2</w:t>
      </w:r>
      <w:r w:rsidRPr="00B77DEA">
        <w:rPr>
          <w:rFonts w:ascii="仿宋_GB2312" w:hAnsi="宋体" w:hint="eastAsia"/>
          <w:color w:val="000000" w:themeColor="text1"/>
          <w:szCs w:val="32"/>
        </w:rPr>
        <w:t>、考试方法是否反映课程教学的目的和要求。</w:t>
      </w:r>
      <w:r w:rsidRPr="00B77DEA">
        <w:rPr>
          <w:rFonts w:ascii="仿宋_GB2312" w:hAnsi="宋体" w:hint="eastAsia"/>
          <w:color w:val="000000" w:themeColor="text1"/>
          <w:szCs w:val="32"/>
        </w:rPr>
        <w:cr/>
        <w:t xml:space="preserve">    </w:t>
      </w:r>
      <w:r w:rsidRPr="00B77DEA">
        <w:rPr>
          <w:rFonts w:ascii="仿宋_GB2312" w:hAnsi="宋体" w:hint="eastAsia"/>
          <w:color w:val="000000" w:themeColor="text1"/>
          <w:szCs w:val="32"/>
        </w:rPr>
        <w:t>除了重要的概念和基本分析方法必须熟练掌握之外，应当培养学生对所学理论的灵活运用能力，避免死记硬背的考试方法。除闭卷考试以外，能结合课程要求的不同，采取实践技能考试、仿真病例口试分析等。</w:t>
      </w:r>
      <w:r w:rsidRPr="00B77DEA">
        <w:rPr>
          <w:rFonts w:ascii="仿宋_GB2312" w:hAnsi="宋体" w:hint="eastAsia"/>
          <w:color w:val="000000" w:themeColor="text1"/>
          <w:szCs w:val="32"/>
        </w:rPr>
        <w:cr/>
        <w:t xml:space="preserve">    3</w:t>
      </w:r>
      <w:r w:rsidRPr="00B77DEA">
        <w:rPr>
          <w:rFonts w:ascii="仿宋_GB2312" w:hAnsi="宋体" w:hint="eastAsia"/>
          <w:color w:val="000000" w:themeColor="text1"/>
          <w:szCs w:val="32"/>
        </w:rPr>
        <w:t>、学生考试成绩，在试题难度符合大纲要求的前提下，取全班人数平均成绩，折算为评估课程质量因素的一个指标。</w:t>
      </w:r>
      <w:r w:rsidRPr="00B77DEA">
        <w:rPr>
          <w:rFonts w:ascii="仿宋_GB2312" w:hAnsi="宋体" w:hint="eastAsia"/>
          <w:color w:val="000000" w:themeColor="text1"/>
          <w:szCs w:val="32"/>
        </w:rPr>
        <w:cr/>
        <w:t xml:space="preserve">    </w:t>
      </w:r>
      <w:r w:rsidRPr="00B77DEA">
        <w:rPr>
          <w:rFonts w:ascii="仿宋_GB2312" w:hAnsi="宋体" w:hint="eastAsia"/>
          <w:color w:val="000000" w:themeColor="text1"/>
          <w:szCs w:val="32"/>
        </w:rPr>
        <w:t>如果题目偏难，则学生的成绩普遍较低，为此应适当提高计分值</w:t>
      </w:r>
      <w:r w:rsidRPr="00B77DEA">
        <w:rPr>
          <w:rFonts w:ascii="仿宋_GB2312" w:hAnsi="宋体" w:hint="eastAsia"/>
          <w:color w:val="000000" w:themeColor="text1"/>
          <w:szCs w:val="32"/>
        </w:rPr>
        <w:t>(</w:t>
      </w:r>
      <w:r w:rsidRPr="00B77DEA">
        <w:rPr>
          <w:rFonts w:ascii="仿宋_GB2312" w:hAnsi="宋体" w:hint="eastAsia"/>
          <w:color w:val="000000" w:themeColor="text1"/>
          <w:szCs w:val="32"/>
        </w:rPr>
        <w:t>增值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，反之，题目偏易，学生考试成绩普遍提高，这时应当减少分</w:t>
      </w:r>
      <w:r w:rsidRPr="00B77DEA">
        <w:rPr>
          <w:rFonts w:ascii="仿宋_GB2312" w:hAnsi="宋体" w:hint="eastAsia"/>
          <w:color w:val="000000" w:themeColor="text1"/>
          <w:spacing w:val="-4"/>
          <w:szCs w:val="32"/>
        </w:rPr>
        <w:t>数贬值的附加影响，出现这种情况时，考试的人均成绩叠加±</w:t>
      </w:r>
      <w:r w:rsidRPr="00B77DEA">
        <w:rPr>
          <w:rFonts w:ascii="仿宋_GB2312" w:hAnsi="宋体" w:hint="eastAsia"/>
          <w:color w:val="000000" w:themeColor="text1"/>
          <w:spacing w:val="-4"/>
          <w:szCs w:val="32"/>
        </w:rPr>
        <w:t>10</w:t>
      </w:r>
      <w:r w:rsidRPr="00B77DEA">
        <w:rPr>
          <w:rFonts w:ascii="仿宋_GB2312" w:hAnsi="宋体" w:hint="eastAsia"/>
          <w:color w:val="000000" w:themeColor="text1"/>
          <w:spacing w:val="-4"/>
          <w:szCs w:val="32"/>
        </w:rPr>
        <w:t>—</w:t>
      </w:r>
      <w:r w:rsidRPr="00B77DEA">
        <w:rPr>
          <w:rFonts w:ascii="仿宋_GB2312" w:hAnsi="宋体" w:hint="eastAsia"/>
          <w:color w:val="000000" w:themeColor="text1"/>
          <w:spacing w:val="-4"/>
          <w:szCs w:val="32"/>
        </w:rPr>
        <w:t>15</w:t>
      </w:r>
      <w:r w:rsidRPr="00B77DEA">
        <w:rPr>
          <w:rFonts w:ascii="仿宋_GB2312" w:hAnsi="宋体" w:hint="eastAsia"/>
          <w:color w:val="000000" w:themeColor="text1"/>
          <w:szCs w:val="32"/>
        </w:rPr>
        <w:t>％，即当题目偏难时，增加</w:t>
      </w:r>
      <w:r w:rsidRPr="00B77DEA">
        <w:rPr>
          <w:rFonts w:ascii="仿宋_GB2312" w:hAnsi="宋体" w:hint="eastAsia"/>
          <w:color w:val="000000" w:themeColor="text1"/>
          <w:szCs w:val="32"/>
        </w:rPr>
        <w:t>10</w:t>
      </w:r>
      <w:r w:rsidRPr="00B77DEA">
        <w:rPr>
          <w:rFonts w:ascii="仿宋_GB2312" w:hAnsi="宋体" w:hint="eastAsia"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color w:val="000000" w:themeColor="text1"/>
          <w:szCs w:val="32"/>
        </w:rPr>
        <w:t>15</w:t>
      </w:r>
      <w:r w:rsidRPr="00B77DEA">
        <w:rPr>
          <w:rFonts w:ascii="仿宋_GB2312" w:hAnsi="宋体" w:hint="eastAsia"/>
          <w:color w:val="000000" w:themeColor="text1"/>
          <w:szCs w:val="32"/>
        </w:rPr>
        <w:t>％计入人均成绩；题目偏易时，减少</w:t>
      </w:r>
      <w:r w:rsidRPr="00B77DEA">
        <w:rPr>
          <w:rFonts w:ascii="仿宋_GB2312" w:hAnsi="宋体" w:hint="eastAsia"/>
          <w:color w:val="000000" w:themeColor="text1"/>
          <w:szCs w:val="32"/>
        </w:rPr>
        <w:t>10</w:t>
      </w:r>
      <w:r w:rsidRPr="00B77DEA">
        <w:rPr>
          <w:rFonts w:ascii="仿宋_GB2312" w:hAnsi="宋体" w:hint="eastAsia"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color w:val="000000" w:themeColor="text1"/>
          <w:szCs w:val="32"/>
        </w:rPr>
        <w:t>15</w:t>
      </w:r>
      <w:r w:rsidRPr="00B77DEA">
        <w:rPr>
          <w:rFonts w:ascii="仿宋_GB2312" w:hAnsi="宋体" w:hint="eastAsia"/>
          <w:color w:val="000000" w:themeColor="text1"/>
          <w:szCs w:val="32"/>
        </w:rPr>
        <w:t>％，最后再折算为质量计分。折算的办法是：</w:t>
      </w:r>
      <w:r w:rsidRPr="00B77DEA">
        <w:rPr>
          <w:rFonts w:ascii="仿宋_GB2312" w:hAnsi="宋体" w:hint="eastAsia"/>
          <w:color w:val="000000" w:themeColor="text1"/>
          <w:szCs w:val="32"/>
        </w:rPr>
        <w:cr/>
        <w:t xml:space="preserve">    </w:t>
      </w:r>
      <w:r w:rsidRPr="00B77DEA">
        <w:rPr>
          <w:rFonts w:ascii="仿宋_GB2312" w:hAnsi="宋体" w:hint="eastAsia"/>
          <w:color w:val="000000" w:themeColor="text1"/>
          <w:szCs w:val="32"/>
        </w:rPr>
        <w:t>人均成绩</w:t>
      </w:r>
      <w:r w:rsidRPr="00B77DEA">
        <w:rPr>
          <w:rFonts w:ascii="仿宋_GB2312" w:hAnsi="宋体" w:hint="eastAsia"/>
          <w:color w:val="000000" w:themeColor="text1"/>
          <w:szCs w:val="32"/>
        </w:rPr>
        <w:t>(</w:t>
      </w:r>
      <w:r w:rsidRPr="00B77DEA">
        <w:rPr>
          <w:rFonts w:ascii="仿宋_GB2312" w:hAnsi="宋体" w:hint="eastAsia"/>
          <w:color w:val="000000" w:themeColor="text1"/>
          <w:szCs w:val="32"/>
        </w:rPr>
        <w:t>计入±</w:t>
      </w:r>
      <w:r w:rsidRPr="00B77DEA">
        <w:rPr>
          <w:rFonts w:ascii="仿宋_GB2312" w:hAnsi="宋体" w:hint="eastAsia"/>
          <w:color w:val="000000" w:themeColor="text1"/>
          <w:szCs w:val="32"/>
        </w:rPr>
        <w:t>10</w:t>
      </w:r>
      <w:r w:rsidRPr="00B77DEA">
        <w:rPr>
          <w:rFonts w:ascii="仿宋_GB2312" w:hAnsi="宋体" w:hint="eastAsia"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color w:val="000000" w:themeColor="text1"/>
          <w:szCs w:val="32"/>
        </w:rPr>
        <w:t>15</w:t>
      </w:r>
      <w:r w:rsidRPr="00B77DEA">
        <w:rPr>
          <w:rFonts w:ascii="仿宋_GB2312" w:hAnsi="宋体" w:hint="eastAsia"/>
          <w:color w:val="000000" w:themeColor="text1"/>
          <w:szCs w:val="32"/>
        </w:rPr>
        <w:t>％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在</w:t>
      </w:r>
      <w:r w:rsidRPr="00B77DEA">
        <w:rPr>
          <w:rFonts w:ascii="仿宋_GB2312" w:hAnsi="宋体" w:hint="eastAsia"/>
          <w:color w:val="000000" w:themeColor="text1"/>
          <w:szCs w:val="32"/>
        </w:rPr>
        <w:t>85</w:t>
      </w:r>
      <w:r w:rsidRPr="00B77DEA">
        <w:rPr>
          <w:rFonts w:ascii="仿宋_GB2312" w:hAnsi="宋体" w:hint="eastAsia"/>
          <w:color w:val="000000" w:themeColor="text1"/>
          <w:szCs w:val="32"/>
        </w:rPr>
        <w:t>分以上，定为上等</w:t>
      </w:r>
      <w:r w:rsidRPr="00B77DEA">
        <w:rPr>
          <w:rFonts w:ascii="仿宋_GB2312" w:hAnsi="宋体" w:hint="eastAsia"/>
          <w:color w:val="000000" w:themeColor="text1"/>
          <w:szCs w:val="32"/>
        </w:rPr>
        <w:t>(4</w:t>
      </w:r>
      <w:r w:rsidRPr="00B77DEA">
        <w:rPr>
          <w:rFonts w:ascii="仿宋_GB2312" w:hAnsi="宋体" w:hint="eastAsia"/>
          <w:color w:val="000000" w:themeColor="text1"/>
          <w:szCs w:val="32"/>
        </w:rPr>
        <w:t>分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；</w:t>
      </w:r>
      <w:r w:rsidRPr="00B77DEA">
        <w:rPr>
          <w:rFonts w:ascii="仿宋_GB2312" w:hAnsi="宋体" w:hint="eastAsia"/>
          <w:color w:val="000000" w:themeColor="text1"/>
          <w:szCs w:val="32"/>
        </w:rPr>
        <w:cr/>
        <w:t xml:space="preserve">    </w:t>
      </w:r>
      <w:r w:rsidRPr="00B77DEA">
        <w:rPr>
          <w:rFonts w:ascii="仿宋_GB2312" w:hAnsi="宋体" w:hint="eastAsia"/>
          <w:color w:val="000000" w:themeColor="text1"/>
          <w:szCs w:val="32"/>
        </w:rPr>
        <w:t>人均成绩</w:t>
      </w:r>
      <w:r w:rsidRPr="00B77DEA">
        <w:rPr>
          <w:rFonts w:ascii="仿宋_GB2312" w:hAnsi="宋体" w:hint="eastAsia"/>
          <w:color w:val="000000" w:themeColor="text1"/>
          <w:szCs w:val="32"/>
        </w:rPr>
        <w:t>(</w:t>
      </w:r>
      <w:r w:rsidRPr="00B77DEA">
        <w:rPr>
          <w:rFonts w:ascii="仿宋_GB2312" w:hAnsi="宋体" w:hint="eastAsia"/>
          <w:color w:val="000000" w:themeColor="text1"/>
          <w:szCs w:val="32"/>
        </w:rPr>
        <w:t>计入±</w:t>
      </w:r>
      <w:r w:rsidRPr="00B77DEA">
        <w:rPr>
          <w:rFonts w:ascii="仿宋_GB2312" w:hAnsi="宋体" w:hint="eastAsia"/>
          <w:color w:val="000000" w:themeColor="text1"/>
          <w:szCs w:val="32"/>
        </w:rPr>
        <w:t>10</w:t>
      </w:r>
      <w:r w:rsidRPr="00B77DEA">
        <w:rPr>
          <w:rFonts w:ascii="仿宋_GB2312" w:hAnsi="宋体" w:hint="eastAsia"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color w:val="000000" w:themeColor="text1"/>
          <w:szCs w:val="32"/>
        </w:rPr>
        <w:t>15</w:t>
      </w:r>
      <w:r w:rsidRPr="00B77DEA">
        <w:rPr>
          <w:rFonts w:ascii="仿宋_GB2312" w:hAnsi="宋体" w:hint="eastAsia"/>
          <w:color w:val="000000" w:themeColor="text1"/>
          <w:szCs w:val="32"/>
        </w:rPr>
        <w:t>％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在</w:t>
      </w:r>
      <w:r w:rsidRPr="00B77DEA">
        <w:rPr>
          <w:rFonts w:ascii="仿宋_GB2312" w:hAnsi="宋体" w:hint="eastAsia"/>
          <w:color w:val="000000" w:themeColor="text1"/>
          <w:szCs w:val="32"/>
        </w:rPr>
        <w:t>70</w:t>
      </w:r>
      <w:r w:rsidRPr="00B77DEA">
        <w:rPr>
          <w:rFonts w:ascii="仿宋_GB2312" w:hAnsi="宋体" w:hint="eastAsia"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color w:val="000000" w:themeColor="text1"/>
          <w:szCs w:val="32"/>
        </w:rPr>
        <w:t>84</w:t>
      </w:r>
      <w:r w:rsidRPr="00B77DEA">
        <w:rPr>
          <w:rFonts w:ascii="仿宋_GB2312" w:hAnsi="宋体" w:hint="eastAsia"/>
          <w:color w:val="000000" w:themeColor="text1"/>
          <w:szCs w:val="32"/>
        </w:rPr>
        <w:t>分定为中等</w:t>
      </w:r>
      <w:r w:rsidRPr="00B77DEA">
        <w:rPr>
          <w:rFonts w:ascii="仿宋_GB2312" w:hAnsi="宋体" w:hint="eastAsia"/>
          <w:color w:val="000000" w:themeColor="text1"/>
          <w:szCs w:val="32"/>
        </w:rPr>
        <w:t>(3</w:t>
      </w:r>
      <w:r w:rsidRPr="00B77DEA">
        <w:rPr>
          <w:rFonts w:ascii="仿宋_GB2312" w:hAnsi="宋体" w:hint="eastAsia"/>
          <w:color w:val="000000" w:themeColor="text1"/>
          <w:szCs w:val="32"/>
        </w:rPr>
        <w:t>分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；</w:t>
      </w:r>
      <w:r w:rsidRPr="00B77DEA">
        <w:rPr>
          <w:rFonts w:ascii="仿宋_GB2312" w:hAnsi="宋体" w:hint="eastAsia"/>
          <w:color w:val="000000" w:themeColor="text1"/>
          <w:szCs w:val="32"/>
        </w:rPr>
        <w:cr/>
        <w:t xml:space="preserve">    </w:t>
      </w:r>
      <w:r w:rsidRPr="00B77DEA">
        <w:rPr>
          <w:rFonts w:ascii="仿宋_GB2312" w:hAnsi="宋体" w:hint="eastAsia"/>
          <w:color w:val="000000" w:themeColor="text1"/>
          <w:szCs w:val="32"/>
        </w:rPr>
        <w:t>人均成绩</w:t>
      </w:r>
      <w:r w:rsidRPr="00B77DEA">
        <w:rPr>
          <w:rFonts w:ascii="仿宋_GB2312" w:hAnsi="宋体" w:hint="eastAsia"/>
          <w:color w:val="000000" w:themeColor="text1"/>
          <w:szCs w:val="32"/>
        </w:rPr>
        <w:t>(</w:t>
      </w:r>
      <w:r w:rsidRPr="00B77DEA">
        <w:rPr>
          <w:rFonts w:ascii="仿宋_GB2312" w:hAnsi="宋体" w:hint="eastAsia"/>
          <w:color w:val="000000" w:themeColor="text1"/>
          <w:szCs w:val="32"/>
        </w:rPr>
        <w:t>计入±</w:t>
      </w:r>
      <w:r w:rsidRPr="00B77DEA">
        <w:rPr>
          <w:rFonts w:ascii="仿宋_GB2312" w:hAnsi="宋体" w:hint="eastAsia"/>
          <w:color w:val="000000" w:themeColor="text1"/>
          <w:szCs w:val="32"/>
        </w:rPr>
        <w:t>10</w:t>
      </w:r>
      <w:r w:rsidRPr="00B77DEA">
        <w:rPr>
          <w:rFonts w:ascii="仿宋_GB2312" w:hAnsi="宋体" w:hint="eastAsia"/>
          <w:color w:val="000000" w:themeColor="text1"/>
          <w:szCs w:val="32"/>
        </w:rPr>
        <w:t>—</w:t>
      </w:r>
      <w:r w:rsidRPr="00B77DEA">
        <w:rPr>
          <w:rFonts w:ascii="仿宋_GB2312" w:hAnsi="宋体" w:hint="eastAsia"/>
          <w:color w:val="000000" w:themeColor="text1"/>
          <w:szCs w:val="32"/>
        </w:rPr>
        <w:t>15</w:t>
      </w:r>
      <w:r w:rsidRPr="00B77DEA">
        <w:rPr>
          <w:rFonts w:ascii="仿宋_GB2312" w:hAnsi="宋体" w:hint="eastAsia"/>
          <w:color w:val="000000" w:themeColor="text1"/>
          <w:szCs w:val="32"/>
        </w:rPr>
        <w:t>％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在</w:t>
      </w:r>
      <w:r w:rsidRPr="00B77DEA">
        <w:rPr>
          <w:rFonts w:ascii="仿宋_GB2312" w:hAnsi="宋体" w:hint="eastAsia"/>
          <w:color w:val="000000" w:themeColor="text1"/>
          <w:szCs w:val="32"/>
        </w:rPr>
        <w:t>70</w:t>
      </w:r>
      <w:r w:rsidRPr="00B77DEA">
        <w:rPr>
          <w:rFonts w:ascii="仿宋_GB2312" w:hAnsi="宋体" w:hint="eastAsia"/>
          <w:color w:val="000000" w:themeColor="text1"/>
          <w:szCs w:val="32"/>
        </w:rPr>
        <w:t>分以下，定为下等</w:t>
      </w:r>
      <w:r w:rsidRPr="00B77DEA">
        <w:rPr>
          <w:rFonts w:ascii="仿宋_GB2312" w:hAnsi="宋体" w:hint="eastAsia"/>
          <w:color w:val="000000" w:themeColor="text1"/>
          <w:szCs w:val="32"/>
        </w:rPr>
        <w:t>(2</w:t>
      </w:r>
      <w:r w:rsidRPr="00B77DEA">
        <w:rPr>
          <w:rFonts w:ascii="仿宋_GB2312" w:hAnsi="宋体" w:hint="eastAsia"/>
          <w:color w:val="000000" w:themeColor="text1"/>
          <w:szCs w:val="32"/>
        </w:rPr>
        <w:t>分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。</w:t>
      </w:r>
    </w:p>
    <w:p w:rsidR="001D23B7" w:rsidRPr="0042444D" w:rsidRDefault="001D23B7"/>
    <w:sectPr w:rsidR="001D23B7" w:rsidRPr="004244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3B7" w:rsidRDefault="001D23B7" w:rsidP="0042444D">
      <w:r>
        <w:separator/>
      </w:r>
    </w:p>
  </w:endnote>
  <w:endnote w:type="continuationSeparator" w:id="1">
    <w:p w:rsidR="001D23B7" w:rsidRDefault="001D23B7" w:rsidP="00424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3B7" w:rsidRDefault="001D23B7" w:rsidP="0042444D">
      <w:r>
        <w:separator/>
      </w:r>
    </w:p>
  </w:footnote>
  <w:footnote w:type="continuationSeparator" w:id="1">
    <w:p w:rsidR="001D23B7" w:rsidRDefault="001D23B7" w:rsidP="004244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444D"/>
    <w:rsid w:val="001D23B7"/>
    <w:rsid w:val="00424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4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44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44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44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444D"/>
    <w:rPr>
      <w:sz w:val="18"/>
      <w:szCs w:val="18"/>
    </w:rPr>
  </w:style>
  <w:style w:type="paragraph" w:styleId="a5">
    <w:name w:val="Plain Text"/>
    <w:basedOn w:val="a"/>
    <w:link w:val="Char1"/>
    <w:rsid w:val="0042444D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42444D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>Microsoft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2016-12-08T01:32:00Z</dcterms:created>
  <dcterms:modified xsi:type="dcterms:W3CDTF">2016-12-08T01:32:00Z</dcterms:modified>
</cp:coreProperties>
</file>